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35302" w14:textId="77777777" w:rsidR="001D5A5E" w:rsidRDefault="0077116C">
      <w:pPr>
        <w:spacing w:before="120" w:after="120" w:line="240" w:lineRule="auto"/>
        <w:jc w:val="center"/>
        <w:rPr>
          <w:color w:val="000000"/>
          <w:sz w:val="28"/>
          <w:szCs w:val="28"/>
        </w:rPr>
      </w:pPr>
      <w:r>
        <w:rPr>
          <w:b/>
          <w:color w:val="000000"/>
          <w:sz w:val="28"/>
          <w:szCs w:val="28"/>
        </w:rPr>
        <w:t>ΣΥΜΒΑΣΗ ΕΜΠΙΣΤΕΥΤΙΚΟΤΗΤΑΣ</w:t>
      </w:r>
    </w:p>
    <w:p w14:paraId="0E141EE3" w14:textId="77777777" w:rsidR="001D5A5E" w:rsidRDefault="001D5A5E">
      <w:pPr>
        <w:spacing w:before="120" w:after="120" w:line="240" w:lineRule="auto"/>
        <w:rPr>
          <w:rFonts w:ascii="Times New Roman" w:eastAsia="Times New Roman" w:hAnsi="Times New Roman" w:cs="Times New Roman"/>
          <w:sz w:val="24"/>
          <w:szCs w:val="24"/>
        </w:rPr>
      </w:pPr>
    </w:p>
    <w:p w14:paraId="2446B907" w14:textId="4F333066" w:rsidR="00C45809" w:rsidRDefault="0077116C">
      <w:pPr>
        <w:spacing w:before="120" w:after="120" w:line="240" w:lineRule="auto"/>
        <w:jc w:val="both"/>
        <w:rPr>
          <w:color w:val="000000"/>
        </w:rPr>
      </w:pPr>
      <w:r>
        <w:rPr>
          <w:color w:val="000000"/>
        </w:rPr>
        <w:t xml:space="preserve">Στην Αθήνα </w:t>
      </w:r>
      <w:r w:rsidRPr="004658D3">
        <w:rPr>
          <w:color w:val="000000"/>
        </w:rPr>
        <w:t xml:space="preserve">σήμερα </w:t>
      </w:r>
      <w:r w:rsidR="004658D3" w:rsidRPr="004658D3">
        <w:rPr>
          <w:color w:val="000000"/>
          <w:highlight w:val="yellow"/>
        </w:rPr>
        <w:t>ΧΧ/ΧΧ/2019</w:t>
      </w:r>
      <w:r>
        <w:rPr>
          <w:color w:val="000000"/>
        </w:rPr>
        <w:t xml:space="preserve">, μεταξύ αφενός της </w:t>
      </w:r>
      <w:r w:rsidR="00BB5B5B">
        <w:rPr>
          <w:rFonts w:asciiTheme="majorHAnsi" w:hAnsiTheme="majorHAnsi" w:cstheme="majorHAnsi"/>
          <w:b/>
          <w:color w:val="212121"/>
          <w:sz w:val="24"/>
          <w:szCs w:val="24"/>
        </w:rPr>
        <w:t>MARYLAND PROPERTY SERVICES</w:t>
      </w:r>
      <w:r w:rsidRPr="00C45809">
        <w:rPr>
          <w:b/>
          <w:color w:val="000000"/>
        </w:rPr>
        <w:t>,</w:t>
      </w:r>
      <w:r w:rsidRPr="00C45809">
        <w:rPr>
          <w:color w:val="000000"/>
        </w:rPr>
        <w:t xml:space="preserve"> καλουμένης εφεξής «εταιρία», που εδρεύει στην </w:t>
      </w:r>
      <w:r w:rsidR="00C45809" w:rsidRPr="00C45809">
        <w:rPr>
          <w:color w:val="000000"/>
        </w:rPr>
        <w:t>ΑΘΗΝΑ επί της Οδού ΚΟΡΔΑΤΟΥ αρ. 21</w:t>
      </w:r>
      <w:r w:rsidRPr="00C45809">
        <w:rPr>
          <w:color w:val="000000"/>
        </w:rPr>
        <w:t xml:space="preserve"> με ΑΦΜ:</w:t>
      </w:r>
      <w:r w:rsidR="00C45809" w:rsidRPr="00C45809">
        <w:t xml:space="preserve"> </w:t>
      </w:r>
      <w:r w:rsidR="00D37F07">
        <w:t>800946436</w:t>
      </w:r>
      <w:bookmarkStart w:id="0" w:name="_GoBack"/>
      <w:bookmarkEnd w:id="0"/>
      <w:r w:rsidRPr="00C45809">
        <w:rPr>
          <w:color w:val="000000"/>
        </w:rPr>
        <w:t>,</w:t>
      </w:r>
      <w:r>
        <w:rPr>
          <w:color w:val="000000"/>
        </w:rPr>
        <w:t xml:space="preserve"> νόμιμα εκπροσωπούμενη από τον </w:t>
      </w:r>
      <w:proofErr w:type="spellStart"/>
      <w:r w:rsidRPr="00C45809">
        <w:rPr>
          <w:color w:val="000000"/>
          <w:highlight w:val="yellow"/>
        </w:rPr>
        <w:t>κο</w:t>
      </w:r>
      <w:proofErr w:type="spellEnd"/>
      <w:r w:rsidR="004658D3" w:rsidRPr="00C45809">
        <w:rPr>
          <w:color w:val="000000"/>
          <w:highlight w:val="yellow"/>
        </w:rPr>
        <w:t>/κα</w:t>
      </w:r>
      <w:r w:rsidRPr="00C45809">
        <w:rPr>
          <w:color w:val="000000"/>
          <w:highlight w:val="yellow"/>
        </w:rPr>
        <w:t xml:space="preserve"> </w:t>
      </w:r>
      <w:r w:rsidR="004658D3" w:rsidRPr="00C45809">
        <w:rPr>
          <w:color w:val="000000"/>
          <w:highlight w:val="yellow"/>
        </w:rPr>
        <w:t>………………………….</w:t>
      </w:r>
      <w:r>
        <w:rPr>
          <w:color w:val="000000"/>
        </w:rPr>
        <w:t xml:space="preserve"> </w:t>
      </w:r>
      <w:r>
        <w:rPr>
          <w:b/>
          <w:color w:val="000000"/>
        </w:rPr>
        <w:t>και</w:t>
      </w:r>
      <w:r>
        <w:rPr>
          <w:color w:val="000000"/>
        </w:rPr>
        <w:t xml:space="preserve"> </w:t>
      </w:r>
    </w:p>
    <w:p w14:paraId="34F1B5EB" w14:textId="04B1639A" w:rsidR="001D5A5E" w:rsidRDefault="0077116C">
      <w:pPr>
        <w:spacing w:before="120" w:after="120" w:line="240" w:lineRule="auto"/>
        <w:jc w:val="both"/>
        <w:rPr>
          <w:rFonts w:ascii="Times New Roman" w:eastAsia="Times New Roman" w:hAnsi="Times New Roman" w:cs="Times New Roman"/>
          <w:sz w:val="24"/>
          <w:szCs w:val="24"/>
        </w:rPr>
      </w:pPr>
      <w:r>
        <w:rPr>
          <w:color w:val="000000"/>
        </w:rPr>
        <w:t xml:space="preserve">τ.. κ. </w:t>
      </w:r>
      <w:r>
        <w:rPr>
          <w:i/>
          <w:color w:val="000000"/>
          <w:highlight w:val="yellow"/>
        </w:rPr>
        <w:t>ΟΝΟΜΑ ΕΤΑΙΡΙΑΣ ΣΥΝΕΡΓΑΤΗ</w:t>
      </w:r>
      <w:r>
        <w:rPr>
          <w:color w:val="000000"/>
        </w:rPr>
        <w:t xml:space="preserve"> που εδρεύει στο </w:t>
      </w:r>
      <w:r>
        <w:rPr>
          <w:i/>
          <w:color w:val="000000"/>
          <w:highlight w:val="yellow"/>
        </w:rPr>
        <w:t>ΔΗΜΟΣ, ΟΔΟΣ ΑΡΙΘΜΟΣ</w:t>
      </w:r>
      <w:r>
        <w:rPr>
          <w:color w:val="000000"/>
        </w:rPr>
        <w:t xml:space="preserve">, νόμιμα εκπροσωπούμενη από τον κ. </w:t>
      </w:r>
      <w:r>
        <w:rPr>
          <w:i/>
          <w:color w:val="000000"/>
          <w:highlight w:val="yellow"/>
        </w:rPr>
        <w:t>ΟΝΟΜΑ ΝΟΜΙΜΟΥ ΕΚΠΡΟΣΩΠΟΥ ΕΠΙΧΕΙΡΗΣΗΣ</w:t>
      </w:r>
      <w:r>
        <w:rPr>
          <w:color w:val="000000"/>
        </w:rPr>
        <w:t xml:space="preserve"> καλουμένης εφεξής «συνεργάτης» συμφωνήθηκαν και έγιναν αμοιβαία δεκτά τα ακόλουθα.</w:t>
      </w:r>
    </w:p>
    <w:p w14:paraId="37DCCED7" w14:textId="05FE5DE0" w:rsidR="001D5A5E" w:rsidRDefault="0077116C">
      <w:pPr>
        <w:numPr>
          <w:ilvl w:val="0"/>
          <w:numId w:val="1"/>
        </w:numPr>
        <w:spacing w:before="120" w:after="120" w:line="240" w:lineRule="auto"/>
        <w:ind w:left="360"/>
        <w:jc w:val="both"/>
        <w:rPr>
          <w:color w:val="000000"/>
        </w:rPr>
      </w:pPr>
      <w:r>
        <w:rPr>
          <w:color w:val="000000"/>
        </w:rPr>
        <w:t xml:space="preserve">Ο συνεργάτης αναγνωρίζει ότι στα πλαίσια της συνεργασίας του με </w:t>
      </w:r>
      <w:r w:rsidRPr="00C45809">
        <w:rPr>
          <w:color w:val="000000"/>
        </w:rPr>
        <w:t>τη</w:t>
      </w:r>
      <w:r w:rsidR="00061DAB" w:rsidRPr="00C45809">
        <w:rPr>
          <w:color w:val="000000"/>
        </w:rPr>
        <w:t>ν</w:t>
      </w:r>
      <w:r w:rsidRPr="00C45809">
        <w:rPr>
          <w:color w:val="000000"/>
        </w:rPr>
        <w:t xml:space="preserve"> </w:t>
      </w:r>
      <w:r w:rsidR="00BB5B5B">
        <w:rPr>
          <w:rFonts w:asciiTheme="majorHAnsi" w:hAnsiTheme="majorHAnsi" w:cstheme="majorHAnsi"/>
          <w:b/>
          <w:color w:val="212121"/>
          <w:sz w:val="24"/>
          <w:szCs w:val="24"/>
        </w:rPr>
        <w:t>MARYLAND PROPERTY SERVICES</w:t>
      </w:r>
      <w:r w:rsidRPr="00C45809">
        <w:rPr>
          <w:color w:val="000000"/>
        </w:rPr>
        <w:t>, είναι πιθανόν να λάβει εμπι</w:t>
      </w:r>
      <w:r>
        <w:rPr>
          <w:color w:val="000000"/>
        </w:rPr>
        <w:t>στευτικές πληροφορίες (σε ηλεκτρονική, έντυπη ή προφορική μορφή) σχετικά με το αντικείμενο, τις δραστηριότητες και τις συνεργασίες της εταιρείας καθώς επίσης και προσωπικά δεδομένα πελατών, δυνητικών πελατών ή/και εργαζομένων της εταιρίας. Αναλαμβάνει την υποχρέωση να τηρεί απόλυτη εχεμύθεια σχετικά με όλα τα παραπάνω, και δεσμεύεται να μην ανακοινώσει ή παραχωρήσει οποτεδήποτε, είτε κατά τη διάρκεια ισχύος της παρούσας συμβάσεως, είτε μετά τη λήξη αυτής, σε οποιονδήποτε, οποιαδήποτε εμπιστευτική πληροφορία ή επαγγελματικό μυστικό της εταιρίας ή πελάτη της εταιρίας, ή να χρησιμοποιήσει οποιεσδήποτε εμπιστευτικές πληροφορίες ή επαγγελματικά μυστικά για όφελος του ή για λογαριασμό τρίτου.</w:t>
      </w:r>
    </w:p>
    <w:p w14:paraId="2CF7D91C" w14:textId="77777777" w:rsidR="001D5A5E" w:rsidRDefault="0077116C">
      <w:pPr>
        <w:numPr>
          <w:ilvl w:val="0"/>
          <w:numId w:val="1"/>
        </w:numPr>
        <w:spacing w:before="120" w:after="120" w:line="240" w:lineRule="auto"/>
        <w:ind w:left="360"/>
        <w:jc w:val="both"/>
        <w:rPr>
          <w:color w:val="000000"/>
        </w:rPr>
      </w:pPr>
      <w:r>
        <w:rPr>
          <w:color w:val="000000"/>
        </w:rPr>
        <w:t>Επιπλέον, ο συνεργάτης αναλαμβάνει την υποχρέωση και εγγυάται ότι η ως άνω υποχρέωση εχεμύθειας δεσμεύει και το προσωπικό και τους συνεργάτες του.</w:t>
      </w:r>
    </w:p>
    <w:p w14:paraId="3B50DA31" w14:textId="77777777" w:rsidR="001D5A5E" w:rsidRDefault="0077116C">
      <w:pPr>
        <w:numPr>
          <w:ilvl w:val="0"/>
          <w:numId w:val="1"/>
        </w:numPr>
        <w:spacing w:before="120" w:after="120" w:line="240" w:lineRule="auto"/>
        <w:ind w:left="360"/>
        <w:jc w:val="both"/>
        <w:rPr>
          <w:color w:val="000000"/>
        </w:rPr>
      </w:pPr>
      <w:r>
        <w:rPr>
          <w:color w:val="000000"/>
        </w:rPr>
        <w:t>Ο συνεργάτης αναλαμβάνει την υποχρέωση, να θέτει τις εμπιστευτικές πληροφορίες, σε γνώση μόνο εκείνων από τους υπαλλήλους του, οι οποίοι χρειάζεται να τις γνωρίζουν, και παράλληλα δεσμεύεται ότι τα προαναφερόμενα άτομα τελούν σε πλήρη γνώση των υποχρεώσεων της εταιρίας, που απορρέουν από την παρούσα, και ότι αναλαμβάνουν τις ίδιες υποχρεώσεις όπως αυτές που ορίζονται στον παρόν έγγραφο.</w:t>
      </w:r>
    </w:p>
    <w:p w14:paraId="27CF6D88" w14:textId="77777777" w:rsidR="001D5A5E" w:rsidRDefault="0077116C">
      <w:pPr>
        <w:numPr>
          <w:ilvl w:val="0"/>
          <w:numId w:val="1"/>
        </w:numPr>
        <w:spacing w:before="120" w:after="120" w:line="240" w:lineRule="auto"/>
        <w:ind w:left="360"/>
        <w:jc w:val="both"/>
        <w:rPr>
          <w:color w:val="000000"/>
        </w:rPr>
      </w:pPr>
      <w:r>
        <w:rPr>
          <w:color w:val="000000"/>
        </w:rPr>
        <w:t xml:space="preserve">Όλες οι Εμπιστευτικές πληροφορίες μαζί με τα αντίγραφα τους, ανεξάρτητα από τη χρήση που τους γίνεται από τον συνεργάτη, θα εξακολουθούν να παραμένουν στην αποκλειστική κυριότητα της εταιρίας και θα επιστρέφονται χωρίς χρονοτριβή σε αυτήν κατά τη λήξη της συνεργασίας, για οποιοδήποτε λόγο διακοπής της συνεργασίας, ή μετά από απαίτηση της εταιρίας. </w:t>
      </w:r>
    </w:p>
    <w:p w14:paraId="5BA9CB2D" w14:textId="77777777" w:rsidR="001D5A5E" w:rsidRDefault="0077116C">
      <w:pPr>
        <w:numPr>
          <w:ilvl w:val="0"/>
          <w:numId w:val="1"/>
        </w:numPr>
        <w:spacing w:before="120" w:after="120" w:line="240" w:lineRule="auto"/>
        <w:ind w:left="360"/>
        <w:jc w:val="both"/>
        <w:rPr>
          <w:color w:val="000000"/>
        </w:rPr>
      </w:pPr>
      <w:r>
        <w:rPr>
          <w:color w:val="000000"/>
        </w:rPr>
        <w:t>Ο συνεργάτης έχει την αποκλειστική ευθύνη για την ασφαλή διαχείριση (φύλαξη, επεξεργασία) των πληροφοριών που λαμβάνει από την εταιρία.</w:t>
      </w:r>
    </w:p>
    <w:p w14:paraId="1BE47636" w14:textId="77777777" w:rsidR="001D5A5E" w:rsidRDefault="0077116C">
      <w:pPr>
        <w:numPr>
          <w:ilvl w:val="0"/>
          <w:numId w:val="1"/>
        </w:numPr>
        <w:spacing w:before="120" w:after="120" w:line="240" w:lineRule="auto"/>
        <w:ind w:left="360"/>
        <w:jc w:val="both"/>
        <w:rPr>
          <w:color w:val="000000"/>
        </w:rPr>
      </w:pPr>
      <w:r>
        <w:rPr>
          <w:color w:val="000000"/>
        </w:rPr>
        <w:t xml:space="preserve">Η επεξεργασία των παραπάνω πληροφοριών που υλοποιείται από τον συνεργάτη θα είναι αποκλειστικά σύμφωνη με τις απαιτήσεις της εταιρίας και θα ικανοποιεί τις απαιτήσεις της εφαρμοστέας νομοθεσίας. </w:t>
      </w:r>
    </w:p>
    <w:p w14:paraId="2697A892" w14:textId="77777777" w:rsidR="001D5A5E" w:rsidRDefault="0077116C">
      <w:pPr>
        <w:numPr>
          <w:ilvl w:val="0"/>
          <w:numId w:val="1"/>
        </w:numPr>
        <w:spacing w:before="120" w:after="120" w:line="240" w:lineRule="auto"/>
        <w:ind w:left="360"/>
        <w:jc w:val="both"/>
        <w:rPr>
          <w:color w:val="000000"/>
        </w:rPr>
      </w:pPr>
      <w:r>
        <w:rPr>
          <w:color w:val="000000"/>
        </w:rPr>
        <w:t>Σε περίπτωση περιστατικού ασφαλείας που έθεσε ή θέτει σε κίνδυνο την εμπιστευτικότητα, την ακεραιότητα ή τη διαθεσιμότητα των παραπάνω πληροφοριών, ο συνεργάτης οφείλει από τη στιγμή που αντιληφθεί την παραπάνω κατάσταση, να ενημερώσει άμεσα την εταιρία.</w:t>
      </w:r>
    </w:p>
    <w:p w14:paraId="232AB04C" w14:textId="77777777" w:rsidR="001D5A5E" w:rsidRDefault="0077116C">
      <w:pPr>
        <w:numPr>
          <w:ilvl w:val="0"/>
          <w:numId w:val="1"/>
        </w:numPr>
        <w:spacing w:before="120" w:after="120" w:line="240" w:lineRule="auto"/>
        <w:ind w:left="360"/>
        <w:jc w:val="both"/>
        <w:rPr>
          <w:color w:val="000000"/>
        </w:rPr>
      </w:pPr>
      <w:r>
        <w:rPr>
          <w:color w:val="000000"/>
        </w:rPr>
        <w:t>Η παρούσα σύμβαση τίθεται αμέσως με την υπογραφή της σε ισχύ, ενώ η απαίτηση τήρησης της εχεμύθειας του συνεργάτη, ισχύει ακόμα και μετά τη λήξη της συνεργασίας του με την εταιρία.</w:t>
      </w:r>
    </w:p>
    <w:p w14:paraId="37BA237C" w14:textId="77777777" w:rsidR="001D5A5E" w:rsidRDefault="0077116C">
      <w:pPr>
        <w:numPr>
          <w:ilvl w:val="0"/>
          <w:numId w:val="1"/>
        </w:numPr>
        <w:spacing w:before="120" w:after="120" w:line="240" w:lineRule="auto"/>
        <w:ind w:left="360"/>
        <w:jc w:val="both"/>
        <w:rPr>
          <w:color w:val="000000"/>
        </w:rPr>
      </w:pPr>
      <w:r>
        <w:rPr>
          <w:color w:val="000000"/>
        </w:rPr>
        <w:t xml:space="preserve">Ο όρος "Εφαρμοστέο Νομικό Πλαίσιο Προστασίας Δεδομένων" περιλαμβάνει τον Γενικό Κανονισμό Προστασίας Δεδομένων, (ΕΕ 2016/679), όπως ισχύει, τους Ελληνικούς </w:t>
      </w:r>
      <w:r>
        <w:rPr>
          <w:color w:val="000000"/>
        </w:rPr>
        <w:lastRenderedPageBreak/>
        <w:t>Νόμους που εφαρμόζονται επί επεξεργασίας προσωπικών δεδομένων, τις αποφάσεις της Ελληνικής Αρχής Προστασίας Δεδομένων και οποιεσδήποτε άλλες ισχύουσες νομικές και κανονιστικές διατάξεις της ΕΕ.</w:t>
      </w:r>
    </w:p>
    <w:p w14:paraId="7AF017A5" w14:textId="77777777" w:rsidR="001D5A5E" w:rsidRDefault="0077116C">
      <w:pPr>
        <w:numPr>
          <w:ilvl w:val="0"/>
          <w:numId w:val="1"/>
        </w:numPr>
        <w:spacing w:before="120" w:after="120" w:line="240" w:lineRule="auto"/>
        <w:ind w:left="360"/>
        <w:jc w:val="both"/>
        <w:rPr>
          <w:color w:val="000000"/>
        </w:rPr>
      </w:pPr>
      <w:r>
        <w:rPr>
          <w:color w:val="000000"/>
        </w:rPr>
        <w:t>Σε πίστωση όλων των παραπάνω, η παρούσα σύμβαση συντάχθηκε και τυπώθηκε σε δύο όμοια πρωτότυπα τα οποία σήμερα συνυπογράφτηκαν από τα δύο συμβαλλόμενα μέρη. Κάθε συμβαλλόμενο μέρος παρέλαβε από ένα (1) πρωτότυπο για ιδία εταιρική χρήση.</w:t>
      </w:r>
    </w:p>
    <w:p w14:paraId="67C81FB5" w14:textId="77777777" w:rsidR="001D5A5E" w:rsidRDefault="0077116C">
      <w:pPr>
        <w:numPr>
          <w:ilvl w:val="0"/>
          <w:numId w:val="1"/>
        </w:numPr>
        <w:spacing w:before="120" w:after="120" w:line="240" w:lineRule="auto"/>
        <w:ind w:left="360"/>
        <w:jc w:val="both"/>
        <w:rPr>
          <w:color w:val="000000"/>
        </w:rPr>
      </w:pPr>
      <w:r>
        <w:rPr>
          <w:color w:val="000000"/>
        </w:rPr>
        <w:t>Το παρόν διέπεται συνολικά και ερμηνεύεται σύμφωνα με το Ελληνικό δίκαιο και αποκλειστικά αρμόδια για κάθε διαφορά που θα προκύψει από το παρόν, είναι τα δικαστήρια των Αθηνών.</w:t>
      </w:r>
    </w:p>
    <w:p w14:paraId="03754BE2" w14:textId="77777777" w:rsidR="001D5A5E" w:rsidRDefault="0077116C">
      <w:pPr>
        <w:spacing w:before="120" w:after="120" w:line="240" w:lineRule="auto"/>
        <w:ind w:left="-359"/>
        <w:jc w:val="both"/>
        <w:rPr>
          <w:rFonts w:ascii="Times New Roman" w:eastAsia="Times New Roman" w:hAnsi="Times New Roman" w:cs="Times New Roman"/>
          <w:sz w:val="24"/>
          <w:szCs w:val="24"/>
        </w:rPr>
      </w:pPr>
      <w:r>
        <w:rPr>
          <w:color w:val="000000"/>
        </w:rPr>
        <w:tab/>
      </w:r>
      <w:r>
        <w:rPr>
          <w:color w:val="000000"/>
        </w:rPr>
        <w:tab/>
      </w:r>
      <w:r>
        <w:rPr>
          <w:color w:val="000000"/>
        </w:rPr>
        <w:tab/>
      </w:r>
      <w:r>
        <w:rPr>
          <w:color w:val="000000"/>
        </w:rPr>
        <w:tab/>
      </w:r>
      <w:r>
        <w:rPr>
          <w:color w:val="000000"/>
        </w:rPr>
        <w:tab/>
      </w:r>
    </w:p>
    <w:p w14:paraId="45ECCA82" w14:textId="77777777" w:rsidR="001D5A5E" w:rsidRDefault="0077116C">
      <w:pPr>
        <w:spacing w:before="120" w:after="120" w:line="240" w:lineRule="auto"/>
        <w:ind w:left="-359"/>
        <w:jc w:val="center"/>
        <w:rPr>
          <w:rFonts w:ascii="Times New Roman" w:eastAsia="Times New Roman" w:hAnsi="Times New Roman" w:cs="Times New Roman"/>
          <w:sz w:val="24"/>
          <w:szCs w:val="24"/>
        </w:rPr>
      </w:pPr>
      <w:r>
        <w:rPr>
          <w:color w:val="000000"/>
        </w:rPr>
        <w:t>ΟΙ ΣΥΜΒΑΛΛΟΜΕΝΟΙ</w:t>
      </w:r>
    </w:p>
    <w:p w14:paraId="30E613EF" w14:textId="2E007F34" w:rsidR="001D5A5E" w:rsidRDefault="0077116C" w:rsidP="00C4580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C45809">
        <w:rPr>
          <w:color w:val="000000"/>
        </w:rPr>
        <w:t>Για την                                                                                               Για την</w:t>
      </w:r>
      <w:r>
        <w:rPr>
          <w:rFonts w:ascii="Times New Roman" w:eastAsia="Times New Roman" w:hAnsi="Times New Roman" w:cs="Times New Roman"/>
          <w:sz w:val="24"/>
          <w:szCs w:val="24"/>
        </w:rPr>
        <w:br/>
      </w:r>
      <w:r w:rsidR="00BB5B5B">
        <w:rPr>
          <w:rFonts w:asciiTheme="majorHAnsi" w:hAnsiTheme="majorHAnsi" w:cstheme="majorHAnsi"/>
          <w:b/>
          <w:color w:val="212121"/>
          <w:sz w:val="24"/>
          <w:szCs w:val="24"/>
        </w:rPr>
        <w:t>MARYLAND PROPERTY SERVICES</w:t>
      </w:r>
      <w:r>
        <w:rPr>
          <w:color w:val="000000"/>
        </w:rPr>
        <w:tab/>
      </w:r>
      <w:r w:rsidR="00C45809">
        <w:rPr>
          <w:color w:val="000000"/>
        </w:rPr>
        <w:t xml:space="preserve">            </w:t>
      </w:r>
      <w:r w:rsidR="0028480E">
        <w:rPr>
          <w:color w:val="000000"/>
        </w:rPr>
        <w:t xml:space="preserve">                      </w:t>
      </w:r>
      <w:r w:rsidR="00C45809">
        <w:rPr>
          <w:color w:val="000000"/>
        </w:rPr>
        <w:t xml:space="preserve"> </w:t>
      </w:r>
      <w:r w:rsidRPr="00C45809">
        <w:rPr>
          <w:i/>
          <w:color w:val="000000"/>
          <w:highlight w:val="yellow"/>
        </w:rPr>
        <w:t>ΟΝΟΜΑ ΕΤΑΙΡΙΑΣ ΣΥΝΕΡΓΑΤΗ</w:t>
      </w:r>
    </w:p>
    <w:p w14:paraId="05978E12" w14:textId="07950860" w:rsidR="001D5A5E" w:rsidRDefault="00C45809">
      <w:pPr>
        <w:spacing w:before="120" w:after="120" w:line="240" w:lineRule="auto"/>
        <w:ind w:right="-83"/>
        <w:jc w:val="both"/>
        <w:rPr>
          <w:rFonts w:ascii="Times New Roman" w:eastAsia="Times New Roman" w:hAnsi="Times New Roman" w:cs="Times New Roman"/>
          <w:sz w:val="24"/>
          <w:szCs w:val="24"/>
        </w:rPr>
      </w:pPr>
      <w:r w:rsidRPr="00B85390">
        <w:rPr>
          <w:i/>
          <w:color w:val="000000"/>
        </w:rPr>
        <w:t xml:space="preserve"> </w:t>
      </w:r>
      <w:r>
        <w:rPr>
          <w:i/>
          <w:color w:val="000000"/>
          <w:sz w:val="16"/>
          <w:szCs w:val="16"/>
        </w:rPr>
        <w:t>(σφραγίδα και υπογραφή)</w:t>
      </w:r>
      <w:r w:rsidR="0077116C">
        <w:rPr>
          <w:i/>
          <w:color w:val="000000"/>
        </w:rPr>
        <w:tab/>
      </w:r>
      <w:r w:rsidR="0077116C">
        <w:rPr>
          <w:i/>
          <w:color w:val="000000"/>
        </w:rPr>
        <w:tab/>
      </w:r>
      <w:r w:rsidR="0077116C">
        <w:rPr>
          <w:i/>
          <w:color w:val="000000"/>
        </w:rPr>
        <w:tab/>
      </w:r>
      <w:r w:rsidR="0077116C">
        <w:rPr>
          <w:i/>
          <w:color w:val="000000"/>
        </w:rPr>
        <w:tab/>
      </w:r>
      <w:r w:rsidR="0077116C">
        <w:rPr>
          <w:i/>
          <w:color w:val="000000"/>
        </w:rPr>
        <w:tab/>
      </w:r>
      <w:r w:rsidR="0077116C" w:rsidRPr="00B85390">
        <w:rPr>
          <w:i/>
          <w:color w:val="000000"/>
        </w:rPr>
        <w:t xml:space="preserve">       </w:t>
      </w:r>
      <w:r w:rsidR="0077116C">
        <w:rPr>
          <w:i/>
          <w:color w:val="000000"/>
          <w:sz w:val="16"/>
          <w:szCs w:val="16"/>
        </w:rPr>
        <w:t>(σφραγίδα και υπογραφή)</w:t>
      </w:r>
    </w:p>
    <w:p w14:paraId="2231FEA4" w14:textId="77777777" w:rsidR="001D5A5E" w:rsidRDefault="001D5A5E"/>
    <w:sectPr w:rsidR="001D5A5E">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3431E"/>
    <w:multiLevelType w:val="multilevel"/>
    <w:tmpl w:val="11D8C712"/>
    <w:lvl w:ilvl="0">
      <w:start w:val="1"/>
      <w:numFmt w:val="decimal"/>
      <w:lvlText w:val="%1."/>
      <w:lvlJc w:val="left"/>
      <w:pPr>
        <w:ind w:left="720" w:hanging="359"/>
      </w:pPr>
      <w:rPr>
        <w:vertAlign w:val="baseline"/>
      </w:rPr>
    </w:lvl>
    <w:lvl w:ilvl="1">
      <w:start w:val="1"/>
      <w:numFmt w:val="decimal"/>
      <w:lvlText w:val="%2."/>
      <w:lvlJc w:val="left"/>
      <w:pPr>
        <w:ind w:left="1440" w:hanging="359"/>
      </w:pPr>
      <w:rPr>
        <w:vertAlign w:val="baseline"/>
      </w:rPr>
    </w:lvl>
    <w:lvl w:ilvl="2">
      <w:start w:val="1"/>
      <w:numFmt w:val="decimal"/>
      <w:lvlText w:val="%3."/>
      <w:lvlJc w:val="left"/>
      <w:pPr>
        <w:ind w:left="2160" w:hanging="359"/>
      </w:pPr>
      <w:rPr>
        <w:vertAlign w:val="baseline"/>
      </w:rPr>
    </w:lvl>
    <w:lvl w:ilvl="3">
      <w:start w:val="1"/>
      <w:numFmt w:val="decimal"/>
      <w:lvlText w:val="%4."/>
      <w:lvlJc w:val="left"/>
      <w:pPr>
        <w:ind w:left="2880" w:hanging="359"/>
      </w:pPr>
      <w:rPr>
        <w:vertAlign w:val="baseline"/>
      </w:rPr>
    </w:lvl>
    <w:lvl w:ilvl="4">
      <w:start w:val="1"/>
      <w:numFmt w:val="decimal"/>
      <w:lvlText w:val="%5."/>
      <w:lvlJc w:val="left"/>
      <w:pPr>
        <w:ind w:left="3600" w:hanging="359"/>
      </w:pPr>
      <w:rPr>
        <w:vertAlign w:val="baseline"/>
      </w:rPr>
    </w:lvl>
    <w:lvl w:ilvl="5">
      <w:start w:val="1"/>
      <w:numFmt w:val="decimal"/>
      <w:lvlText w:val="%6."/>
      <w:lvlJc w:val="left"/>
      <w:pPr>
        <w:ind w:left="4320" w:hanging="359"/>
      </w:pPr>
      <w:rPr>
        <w:vertAlign w:val="baseline"/>
      </w:rPr>
    </w:lvl>
    <w:lvl w:ilvl="6">
      <w:start w:val="1"/>
      <w:numFmt w:val="decimal"/>
      <w:lvlText w:val="%7."/>
      <w:lvlJc w:val="left"/>
      <w:pPr>
        <w:ind w:left="5040" w:hanging="359"/>
      </w:pPr>
      <w:rPr>
        <w:vertAlign w:val="baseline"/>
      </w:rPr>
    </w:lvl>
    <w:lvl w:ilvl="7">
      <w:start w:val="1"/>
      <w:numFmt w:val="decimal"/>
      <w:lvlText w:val="%8."/>
      <w:lvlJc w:val="left"/>
      <w:pPr>
        <w:ind w:left="5760" w:hanging="359"/>
      </w:pPr>
      <w:rPr>
        <w:vertAlign w:val="baseline"/>
      </w:rPr>
    </w:lvl>
    <w:lvl w:ilvl="8">
      <w:start w:val="1"/>
      <w:numFmt w:val="decimal"/>
      <w:lvlText w:val="%9."/>
      <w:lvlJc w:val="left"/>
      <w:pPr>
        <w:ind w:left="6480" w:hanging="359"/>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D5A5E"/>
    <w:rsid w:val="00061DAB"/>
    <w:rsid w:val="001D5A5E"/>
    <w:rsid w:val="0028480E"/>
    <w:rsid w:val="004658D3"/>
    <w:rsid w:val="005116B9"/>
    <w:rsid w:val="0077116C"/>
    <w:rsid w:val="00B85390"/>
    <w:rsid w:val="00BB5B5B"/>
    <w:rsid w:val="00C45809"/>
    <w:rsid w:val="00D3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EDA30"/>
  <w15:docId w15:val="{D6FCD4B6-6B51-4542-8150-F3B52885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l-GR" w:eastAsia="en-US" w:bidi="ar-SA"/>
      </w:rPr>
    </w:rPrDefault>
    <w:pPrDefault>
      <w:pPr>
        <w:pBdr>
          <w:top w:val="none" w:sz="0" w:space="0" w:color="000000"/>
          <w:left w:val="none" w:sz="0" w:space="0" w:color="000000"/>
          <w:bottom w:val="none" w:sz="0" w:space="0" w:color="000000"/>
          <w:right w:val="none" w:sz="0" w:space="0" w:color="000000"/>
          <w:between w:val="none" w:sz="0"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Arial" w:eastAsia="Arial" w:hAnsi="Arial" w:cs="Arial"/>
      <w:sz w:val="40"/>
      <w:szCs w:val="40"/>
    </w:rPr>
  </w:style>
  <w:style w:type="paragraph" w:styleId="Heading2">
    <w:name w:val="heading 2"/>
    <w:basedOn w:val="Normal"/>
    <w:next w:val="Normal"/>
    <w:uiPriority w:val="9"/>
    <w:semiHidden/>
    <w:unhideWhenUsed/>
    <w:qFormat/>
    <w:pPr>
      <w:keepNext/>
      <w:keepLines/>
      <w:spacing w:before="360"/>
      <w:outlineLvl w:val="1"/>
    </w:pPr>
    <w:rPr>
      <w:rFonts w:ascii="Arial" w:eastAsia="Arial" w:hAnsi="Arial" w:cs="Arial"/>
      <w:sz w:val="34"/>
      <w:szCs w:val="34"/>
    </w:rPr>
  </w:style>
  <w:style w:type="paragraph" w:styleId="Heading3">
    <w:name w:val="heading 3"/>
    <w:basedOn w:val="Normal"/>
    <w:next w:val="Normal"/>
    <w:uiPriority w:val="9"/>
    <w:semiHidden/>
    <w:unhideWhenUsed/>
    <w:qFormat/>
    <w:pPr>
      <w:keepNext/>
      <w:keepLines/>
      <w:spacing w:before="320"/>
      <w:outlineLvl w:val="2"/>
    </w:pPr>
    <w:rPr>
      <w:rFonts w:ascii="Arial" w:eastAsia="Arial" w:hAnsi="Arial" w:cs="Arial"/>
      <w:sz w:val="30"/>
      <w:szCs w:val="30"/>
    </w:rPr>
  </w:style>
  <w:style w:type="paragraph" w:styleId="Heading4">
    <w:name w:val="heading 4"/>
    <w:basedOn w:val="Normal"/>
    <w:next w:val="Normal"/>
    <w:uiPriority w:val="9"/>
    <w:semiHidden/>
    <w:unhideWhenUsed/>
    <w:qFormat/>
    <w:pPr>
      <w:keepNext/>
      <w:keepLines/>
      <w:spacing w:before="320"/>
      <w:outlineLvl w:val="3"/>
    </w:pPr>
    <w:rPr>
      <w:rFonts w:ascii="Arial" w:eastAsia="Arial" w:hAnsi="Arial" w:cs="Arial"/>
      <w:b/>
      <w:sz w:val="26"/>
      <w:szCs w:val="26"/>
    </w:rPr>
  </w:style>
  <w:style w:type="paragraph" w:styleId="Heading5">
    <w:name w:val="heading 5"/>
    <w:basedOn w:val="Normal"/>
    <w:next w:val="Normal"/>
    <w:uiPriority w:val="9"/>
    <w:semiHidden/>
    <w:unhideWhenUsed/>
    <w:qFormat/>
    <w:pPr>
      <w:keepNext/>
      <w:keepLines/>
      <w:spacing w:before="320"/>
      <w:outlineLvl w:val="4"/>
    </w:pPr>
    <w:rPr>
      <w:rFonts w:ascii="Arial" w:eastAsia="Arial" w:hAnsi="Arial" w:cs="Arial"/>
      <w:b/>
      <w:sz w:val="24"/>
      <w:szCs w:val="24"/>
    </w:rPr>
  </w:style>
  <w:style w:type="paragraph" w:styleId="Heading6">
    <w:name w:val="heading 6"/>
    <w:basedOn w:val="Normal"/>
    <w:next w:val="Normal"/>
    <w:uiPriority w:val="9"/>
    <w:semiHidden/>
    <w:unhideWhenUsed/>
    <w:qFormat/>
    <w:pPr>
      <w:keepNext/>
      <w:keepLines/>
      <w:spacing w:before="320"/>
      <w:outlineLvl w:val="5"/>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00"/>
    </w:pPr>
    <w:rPr>
      <w:sz w:val="48"/>
      <w:szCs w:val="48"/>
    </w:rPr>
  </w:style>
  <w:style w:type="paragraph" w:styleId="Subtitle">
    <w:name w:val="Subtitle"/>
    <w:basedOn w:val="Normal"/>
    <w:next w:val="Normal"/>
    <w:uiPriority w:val="11"/>
    <w:qFormat/>
    <w:pPr>
      <w:spacing w:before="20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ΙΩΑΝΝΗΣ ΤΣΕΛΕΠΗΣ</cp:lastModifiedBy>
  <cp:revision>10</cp:revision>
  <dcterms:created xsi:type="dcterms:W3CDTF">2019-01-31T12:13:00Z</dcterms:created>
  <dcterms:modified xsi:type="dcterms:W3CDTF">2019-04-08T07:09:00Z</dcterms:modified>
</cp:coreProperties>
</file>